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2EFF" w:rsidTr="00432EFF">
        <w:tc>
          <w:tcPr>
            <w:tcW w:w="4785" w:type="dxa"/>
          </w:tcPr>
          <w:p w:rsidR="00432EFF" w:rsidRDefault="00432EFF" w:rsidP="00432EFF">
            <w:pPr>
              <w:spacing w:after="225" w:line="240" w:lineRule="atLeast"/>
              <w:textAlignment w:val="baseline"/>
              <w:outlineLvl w:val="0"/>
              <w:rPr>
                <w:rFonts w:ascii="Roboto" w:eastAsia="Times New Roman" w:hAnsi="Roboto" w:cs="Times New Roman"/>
                <w:color w:val="4C4C4C"/>
                <w:kern w:val="36"/>
                <w:sz w:val="30"/>
                <w:szCs w:val="30"/>
              </w:rPr>
            </w:pPr>
            <w:r w:rsidRPr="00432EFF">
              <w:rPr>
                <w:rFonts w:ascii="Roboto" w:eastAsia="Times New Roman" w:hAnsi="Roboto" w:cs="Times New Roman"/>
                <w:noProof/>
                <w:color w:val="4C4C4C"/>
                <w:kern w:val="36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2EFF" w:rsidRDefault="00432EFF" w:rsidP="00432EFF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432EFF" w:rsidRPr="00432EFF" w:rsidRDefault="00432EFF" w:rsidP="00432EFF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 w:rsidRPr="00432EFF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Новые правила сноса старого дома</w:t>
            </w:r>
          </w:p>
        </w:tc>
      </w:tr>
    </w:tbl>
    <w:p w:rsid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Изменения, внесенные с 4 августа 2018 года в Градостроительный кодекс, затронули, в том числе и процедуру сноса объекта капитального строительства. Данные изменения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недвижимости.</w:t>
      </w:r>
    </w:p>
    <w:p w:rsidR="00751D44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Снос объекта капитального строительства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основании решения собственника этого объекта, необходим проект организации по сносу. </w:t>
      </w:r>
    </w:p>
    <w:p w:rsid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Проект организации по сносу не требуется в случае сноса гаража на земельном участке, не предназначенном для предпринимательской деятельности, а также в случае сноса 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 вспомогательного использования.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организации работ по сносу не нужен при сносе: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гаража на земельном участке, предоставленном физическому лицу для целей, не связанных с осуществлением предпринимательской деятельности, или сносе на садовом земельном участке жилого дома, садового дома, хозяйственных построек;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ИЖС;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объектов, не являющихся объектами капитального строительства;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строений и сооружений вспомогательного использования.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застройщик по собственной инициативе вправе обеспечить подготовку проекта организации работ по сносу;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сносе объекта капитального строительства в целях строительства нового объекта капитального строительства, реконструкции либо если работы по сносу начаты до 04.08.2018 и проводятся не в связи с реконструкцией или строительством нового объекта проект организации работ по сносу также не требуется. Снос осуществляется в соответствии с проектной документацией на строительство (реконструкцию).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утилизации строительного мусора.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позднее, чем за семь рабочих дней до начала сноса, собственнику необходимо предоставить в органы местного самоуправления поселения, либо городского округа по месту нахождения объекта капитального строительства, уведомление о планируемом сносе объекта капитального строительства. Сделать это можно посредством личного обращения, через МФЦ,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после проверки всех приложенных к уведомлению документов, в течение семи рабочих дней,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самоуправление уведомление о завершении сноса объекта капитального строительства.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Далее, для снятия ликвидированного объекта с кадастрового учета </w:t>
      </w:r>
      <w:r w:rsidR="00751D44">
        <w:rPr>
          <w:rFonts w:ascii="Times New Roman" w:eastAsia="Times New Roman" w:hAnsi="Times New Roman" w:cs="Times New Roman"/>
          <w:sz w:val="28"/>
          <w:szCs w:val="28"/>
        </w:rPr>
        <w:t>одновременной</w:t>
      </w: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будет подготовлен акт обследования, можно подавать </w:t>
      </w:r>
      <w:r w:rsidR="00751D4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432EFF">
        <w:rPr>
          <w:rFonts w:ascii="Times New Roman" w:eastAsia="Times New Roman" w:hAnsi="Times New Roman" w:cs="Times New Roman"/>
          <w:sz w:val="28"/>
          <w:szCs w:val="28"/>
        </w:rPr>
        <w:t>заявление в одном из офисов МФЦ или посредством официального портала Росреестра (rosreestr.ru).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1E6FF7" w:rsidRDefault="001E6FF7"/>
    <w:sectPr w:rsidR="001E6FF7" w:rsidSect="00F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32EFF"/>
    <w:rsid w:val="001E6FF7"/>
    <w:rsid w:val="00432EFF"/>
    <w:rsid w:val="0068470E"/>
    <w:rsid w:val="00751D44"/>
    <w:rsid w:val="00AE6D76"/>
    <w:rsid w:val="00F1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B"/>
  </w:style>
  <w:style w:type="paragraph" w:styleId="1">
    <w:name w:val="heading 1"/>
    <w:basedOn w:val="a"/>
    <w:link w:val="10"/>
    <w:uiPriority w:val="9"/>
    <w:qFormat/>
    <w:rsid w:val="0043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Lebiajiepc</cp:lastModifiedBy>
  <cp:revision>2</cp:revision>
  <cp:lastPrinted>2019-01-22T11:33:00Z</cp:lastPrinted>
  <dcterms:created xsi:type="dcterms:W3CDTF">2019-01-22T12:21:00Z</dcterms:created>
  <dcterms:modified xsi:type="dcterms:W3CDTF">2019-01-22T12:21:00Z</dcterms:modified>
</cp:coreProperties>
</file>